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2D" w:rsidRPr="006B512D" w:rsidRDefault="006B512D" w:rsidP="006B512D">
      <w:pPr>
        <w:rPr>
          <w:rFonts w:ascii="Tw Cen MT" w:hAnsi="Tw Cen MT"/>
          <w:b/>
          <w:color w:val="F79646" w:themeColor="accent6"/>
          <w:sz w:val="20"/>
          <w:szCs w:val="20"/>
        </w:rPr>
      </w:pPr>
      <w:r w:rsidRPr="006B512D">
        <w:rPr>
          <w:rFonts w:ascii="Tw Cen MT" w:hAnsi="Tw Cen MT"/>
          <w:b/>
          <w:noProof/>
          <w:color w:val="F79646" w:themeColor="accent6"/>
          <w:sz w:val="48"/>
          <w:szCs w:val="48"/>
        </w:rPr>
        <w:drawing>
          <wp:anchor distT="0" distB="0" distL="114300" distR="114300" simplePos="0" relativeHeight="251659264" behindDoc="0" locked="0" layoutInCell="1" allowOverlap="1" wp14:anchorId="4AC6AB56" wp14:editId="42A7E6B9">
            <wp:simplePos x="0" y="0"/>
            <wp:positionH relativeFrom="column">
              <wp:posOffset>114300</wp:posOffset>
            </wp:positionH>
            <wp:positionV relativeFrom="paragraph">
              <wp:posOffset>0</wp:posOffset>
            </wp:positionV>
            <wp:extent cx="914400" cy="943610"/>
            <wp:effectExtent l="0" t="0" r="0" b="0"/>
            <wp:wrapThrough wrapText="bothSides">
              <wp:wrapPolygon edited="0">
                <wp:start x="0" y="0"/>
                <wp:lineTo x="0" y="20931"/>
                <wp:lineTo x="21000" y="20931"/>
                <wp:lineTo x="21000" y="0"/>
                <wp:lineTo x="0" y="0"/>
              </wp:wrapPolygon>
            </wp:wrapThrough>
            <wp:docPr id="2" name="Picture 2" descr="Macintosh HD:Users:vogels:Desktop:Worksheets:Logo - Particip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Participant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12D">
        <w:rPr>
          <w:rFonts w:ascii="Tw Cen MT" w:hAnsi="Tw Cen MT"/>
          <w:b/>
          <w:color w:val="F79646" w:themeColor="accent6"/>
          <w:sz w:val="48"/>
          <w:szCs w:val="48"/>
        </w:rPr>
        <w:tab/>
      </w:r>
    </w:p>
    <w:p w:rsidR="006B512D" w:rsidRPr="006B512D" w:rsidRDefault="006B512D" w:rsidP="006B512D">
      <w:pPr>
        <w:ind w:firstLine="720"/>
        <w:rPr>
          <w:rFonts w:ascii="Tw Cen MT" w:hAnsi="Tw Cen MT"/>
          <w:b/>
          <w:color w:val="F79646" w:themeColor="accent6"/>
          <w:sz w:val="48"/>
          <w:szCs w:val="48"/>
        </w:rPr>
      </w:pPr>
      <w:r w:rsidRPr="006B512D">
        <w:rPr>
          <w:rFonts w:ascii="Tw Cen MT" w:hAnsi="Tw Cen MT"/>
          <w:b/>
          <w:color w:val="F79646" w:themeColor="accent6"/>
          <w:sz w:val="48"/>
          <w:szCs w:val="48"/>
        </w:rPr>
        <w:t xml:space="preserve">IDDS Participant Ex. Worksheet </w:t>
      </w:r>
    </w:p>
    <w:p w:rsidR="006B512D" w:rsidRPr="006B512D" w:rsidRDefault="006B512D" w:rsidP="006B512D">
      <w:pPr>
        <w:ind w:left="1440" w:firstLine="720"/>
        <w:rPr>
          <w:rFonts w:ascii="Tw Cen MT" w:hAnsi="Tw Cen MT"/>
          <w:sz w:val="48"/>
          <w:szCs w:val="48"/>
        </w:rPr>
      </w:pPr>
      <w:r w:rsidRPr="006B512D">
        <w:rPr>
          <w:rFonts w:ascii="Tw Cen MT" w:hAnsi="Tw Cen MT"/>
          <w:b/>
          <w:sz w:val="48"/>
          <w:szCs w:val="48"/>
        </w:rPr>
        <w:t xml:space="preserve">Participant </w:t>
      </w:r>
      <w:r w:rsidRPr="006B512D">
        <w:rPr>
          <w:rFonts w:ascii="Tw Cen MT" w:hAnsi="Tw Cen MT"/>
          <w:b/>
          <w:sz w:val="48"/>
          <w:szCs w:val="48"/>
        </w:rPr>
        <w:t>List Worksheet</w:t>
      </w:r>
    </w:p>
    <w:p w:rsidR="006B512D" w:rsidRPr="006B512D" w:rsidRDefault="006B512D" w:rsidP="006B512D">
      <w:pPr>
        <w:ind w:left="1440" w:firstLine="720"/>
        <w:rPr>
          <w:rFonts w:ascii="Tw Cen MT" w:hAnsi="Tw Cen MT"/>
        </w:rPr>
      </w:pPr>
    </w:p>
    <w:p w:rsidR="006B512D" w:rsidRPr="006B512D" w:rsidRDefault="006B512D" w:rsidP="006B512D">
      <w:pPr>
        <w:ind w:left="1440" w:firstLine="720"/>
        <w:rPr>
          <w:rFonts w:ascii="Tw Cen MT" w:hAnsi="Tw Cen MT"/>
        </w:rPr>
      </w:pPr>
    </w:p>
    <w:p w:rsidR="006B512D" w:rsidRPr="006B512D" w:rsidRDefault="006B512D" w:rsidP="006B512D">
      <w:pPr>
        <w:ind w:left="1440" w:firstLine="720"/>
        <w:rPr>
          <w:rFonts w:ascii="Tw Cen MT" w:hAnsi="Tw Cen MT"/>
        </w:rPr>
      </w:pPr>
      <w:r w:rsidRPr="006B512D">
        <w:rPr>
          <w:rFonts w:ascii="Tw Cen MT" w:hAnsi="Tw Cen MT"/>
          <w:b/>
          <w:noProof/>
        </w:rPr>
        <mc:AlternateContent>
          <mc:Choice Requires="wps">
            <w:drawing>
              <wp:anchor distT="0" distB="0" distL="114300" distR="114300" simplePos="0" relativeHeight="251661312" behindDoc="0" locked="0" layoutInCell="1" allowOverlap="1" wp14:anchorId="3E4B10F0" wp14:editId="60D596D6">
                <wp:simplePos x="0" y="0"/>
                <wp:positionH relativeFrom="column">
                  <wp:posOffset>0</wp:posOffset>
                </wp:positionH>
                <wp:positionV relativeFrom="paragraph">
                  <wp:posOffset>237490</wp:posOffset>
                </wp:positionV>
                <wp:extent cx="5600700" cy="3429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B512D" w:rsidRPr="0011720F" w:rsidRDefault="006B512D" w:rsidP="006B512D">
                            <w:pPr>
                              <w:rPr>
                                <w:rFonts w:ascii="Tw Cen MT" w:hAnsi="Tw Cen MT"/>
                                <w:color w:val="FFFFFF" w:themeColor="background1"/>
                                <w:sz w:val="28"/>
                                <w:szCs w:val="28"/>
                              </w:rPr>
                            </w:pPr>
                            <w:r>
                              <w:rPr>
                                <w:rFonts w:ascii="Tw Cen MT" w:hAnsi="Tw Cen MT"/>
                                <w:color w:val="FFFFFF" w:themeColor="background1"/>
                                <w:sz w:val="28"/>
                                <w:szCs w:val="28"/>
                              </w:rPr>
                              <w:t>The Accepted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18.7pt;width:441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" fillcolor="#f79646 [3209]" stroked="f">
                <v:textbox>
                  <w:txbxContent>
                    <w:p w:rsidR="006B512D" w:rsidRPr="0011720F" w:rsidRDefault="006B512D" w:rsidP="006B512D">
                      <w:pPr>
                        <w:rPr>
                          <w:rFonts w:ascii="Tw Cen MT" w:hAnsi="Tw Cen MT"/>
                          <w:color w:val="FFFFFF" w:themeColor="background1"/>
                          <w:sz w:val="28"/>
                          <w:szCs w:val="28"/>
                        </w:rPr>
                      </w:pPr>
                      <w:r>
                        <w:rPr>
                          <w:rFonts w:ascii="Tw Cen MT" w:hAnsi="Tw Cen MT"/>
                          <w:color w:val="FFFFFF" w:themeColor="background1"/>
                          <w:sz w:val="28"/>
                          <w:szCs w:val="28"/>
                        </w:rPr>
                        <w:t>The Accepted List</w:t>
                      </w:r>
                    </w:p>
                  </w:txbxContent>
                </v:textbox>
                <w10:wrap type="square"/>
              </v:shape>
            </w:pict>
          </mc:Fallback>
        </mc:AlternateContent>
      </w:r>
    </w:p>
    <w:p w:rsidR="006B512D" w:rsidRPr="006B512D" w:rsidRDefault="006B512D" w:rsidP="006B512D">
      <w:pPr>
        <w:jc w:val="both"/>
        <w:rPr>
          <w:rFonts w:ascii="Tw Cen MT" w:hAnsi="Tw Cen MT"/>
        </w:rPr>
      </w:pPr>
    </w:p>
    <w:p w:rsidR="006B512D" w:rsidRPr="006B512D" w:rsidRDefault="006B512D" w:rsidP="006B512D">
      <w:pPr>
        <w:jc w:val="both"/>
        <w:rPr>
          <w:rFonts w:ascii="Tw Cen MT" w:hAnsi="Tw Cen MT"/>
        </w:rPr>
      </w:pPr>
      <w:r w:rsidRPr="006B512D">
        <w:rPr>
          <w:rFonts w:ascii="Tw Cen MT" w:hAnsi="Tw Cen MT"/>
        </w:rPr>
        <w:t>Congrats on selecting your participants!  We’d like to help publicize who was selected to attend and thank application reviewers for their support.  Please share with us the Google excel sheet below who you accepted and their application info:</w:t>
      </w:r>
    </w:p>
    <w:p w:rsidR="006B512D" w:rsidRPr="006B512D" w:rsidRDefault="006B512D" w:rsidP="006B512D">
      <w:pPr>
        <w:jc w:val="both"/>
        <w:rPr>
          <w:rFonts w:ascii="Tw Cen MT" w:hAnsi="Tw Cen MT"/>
        </w:rPr>
      </w:pPr>
    </w:p>
    <w:p w:rsidR="006B512D" w:rsidRPr="006B512D" w:rsidRDefault="006B512D" w:rsidP="006B512D">
      <w:pPr>
        <w:jc w:val="both"/>
        <w:rPr>
          <w:rFonts w:ascii="Tw Cen MT" w:hAnsi="Tw Cen MT"/>
        </w:rPr>
      </w:pPr>
    </w:p>
    <w:p w:rsidR="006B512D" w:rsidRPr="006B512D" w:rsidRDefault="006B512D" w:rsidP="006B512D">
      <w:pPr>
        <w:jc w:val="both"/>
        <w:rPr>
          <w:rFonts w:ascii="Tw Cen MT" w:hAnsi="Tw Cen MT"/>
        </w:rPr>
      </w:pPr>
    </w:p>
    <w:p w:rsidR="006B512D" w:rsidRPr="006B512D" w:rsidRDefault="006B512D" w:rsidP="006B512D">
      <w:pPr>
        <w:jc w:val="both"/>
        <w:rPr>
          <w:rFonts w:ascii="Tw Cen MT" w:hAnsi="Tw Cen MT"/>
        </w:rPr>
      </w:pPr>
    </w:p>
    <w:p w:rsidR="006B512D" w:rsidRPr="006B512D" w:rsidRDefault="006B512D" w:rsidP="006B512D">
      <w:pPr>
        <w:jc w:val="both"/>
        <w:rPr>
          <w:rFonts w:ascii="Tw Cen MT" w:hAnsi="Tw Cen MT"/>
        </w:rPr>
      </w:pPr>
    </w:p>
    <w:p w:rsidR="006B512D" w:rsidRPr="006B512D" w:rsidRDefault="006B512D" w:rsidP="006B512D">
      <w:pPr>
        <w:jc w:val="both"/>
        <w:rPr>
          <w:rFonts w:ascii="Tw Cen MT" w:hAnsi="Tw Cen MT"/>
        </w:rPr>
      </w:pPr>
    </w:p>
    <w:p w:rsidR="006B512D" w:rsidRPr="006B512D" w:rsidRDefault="006B512D" w:rsidP="006B512D">
      <w:pPr>
        <w:jc w:val="both"/>
        <w:rPr>
          <w:rFonts w:ascii="Tw Cen MT" w:hAnsi="Tw Cen MT"/>
        </w:rPr>
      </w:pPr>
    </w:p>
    <w:p w:rsidR="006B512D" w:rsidRPr="006B512D" w:rsidRDefault="006B512D" w:rsidP="006B512D">
      <w:pPr>
        <w:jc w:val="both"/>
        <w:rPr>
          <w:rFonts w:ascii="Tw Cen MT" w:hAnsi="Tw Cen MT"/>
        </w:rPr>
      </w:pPr>
    </w:p>
    <w:p w:rsidR="006B512D" w:rsidRPr="006B512D" w:rsidRDefault="006B512D" w:rsidP="006B512D">
      <w:pPr>
        <w:jc w:val="both"/>
        <w:rPr>
          <w:rFonts w:ascii="Tw Cen MT" w:hAnsi="Tw Cen MT"/>
        </w:rPr>
      </w:pPr>
    </w:p>
    <w:p w:rsidR="006B512D" w:rsidRPr="006B512D" w:rsidRDefault="006B512D" w:rsidP="006B512D">
      <w:pPr>
        <w:jc w:val="both"/>
        <w:rPr>
          <w:rFonts w:ascii="Tw Cen MT" w:hAnsi="Tw Cen MT"/>
        </w:rPr>
      </w:pPr>
    </w:p>
    <w:p w:rsidR="006B512D" w:rsidRPr="006B512D" w:rsidRDefault="006B512D" w:rsidP="006B512D">
      <w:pPr>
        <w:jc w:val="both"/>
        <w:rPr>
          <w:rFonts w:ascii="Tw Cen MT" w:hAnsi="Tw Cen MT"/>
        </w:rPr>
      </w:pPr>
      <w:r w:rsidRPr="006B512D">
        <w:rPr>
          <w:rFonts w:ascii="Tw Cen MT" w:hAnsi="Tw Cen MT"/>
          <w:b/>
          <w:noProof/>
        </w:rPr>
        <mc:AlternateContent>
          <mc:Choice Requires="wps">
            <w:drawing>
              <wp:anchor distT="0" distB="0" distL="114300" distR="114300" simplePos="0" relativeHeight="251663360" behindDoc="0" locked="0" layoutInCell="1" allowOverlap="1" wp14:anchorId="7D086CCD" wp14:editId="4742E53D">
                <wp:simplePos x="0" y="0"/>
                <wp:positionH relativeFrom="column">
                  <wp:posOffset>0</wp:posOffset>
                </wp:positionH>
                <wp:positionV relativeFrom="paragraph">
                  <wp:posOffset>178435</wp:posOffset>
                </wp:positionV>
                <wp:extent cx="56007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B512D" w:rsidRPr="0011720F" w:rsidRDefault="006B512D" w:rsidP="006B512D">
                            <w:pPr>
                              <w:rPr>
                                <w:rFonts w:ascii="Tw Cen MT" w:hAnsi="Tw Cen MT"/>
                                <w:color w:val="FFFFFF" w:themeColor="background1"/>
                                <w:sz w:val="28"/>
                                <w:szCs w:val="28"/>
                              </w:rPr>
                            </w:pPr>
                            <w:r>
                              <w:rPr>
                                <w:rFonts w:ascii="Tw Cen MT" w:hAnsi="Tw Cen MT"/>
                                <w:color w:val="FFFFFF" w:themeColor="background1"/>
                                <w:sz w:val="28"/>
                                <w:szCs w:val="28"/>
                              </w:rPr>
                              <w:t>The Waitlist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0;margin-top:14.05pt;width:441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" fillcolor="#f79646 [3209]" stroked="f">
                <v:textbox>
                  <w:txbxContent>
                    <w:p w:rsidR="006B512D" w:rsidRPr="0011720F" w:rsidRDefault="006B512D" w:rsidP="006B512D">
                      <w:pPr>
                        <w:rPr>
                          <w:rFonts w:ascii="Tw Cen MT" w:hAnsi="Tw Cen MT"/>
                          <w:color w:val="FFFFFF" w:themeColor="background1"/>
                          <w:sz w:val="28"/>
                          <w:szCs w:val="28"/>
                        </w:rPr>
                      </w:pPr>
                      <w:r>
                        <w:rPr>
                          <w:rFonts w:ascii="Tw Cen MT" w:hAnsi="Tw Cen MT"/>
                          <w:color w:val="FFFFFF" w:themeColor="background1"/>
                          <w:sz w:val="28"/>
                          <w:szCs w:val="28"/>
                        </w:rPr>
                        <w:t>The Waitlist</w:t>
                      </w:r>
                    </w:p>
                  </w:txbxContent>
                </v:textbox>
                <w10:wrap type="square"/>
              </v:shape>
            </w:pict>
          </mc:Fallback>
        </mc:AlternateContent>
      </w:r>
    </w:p>
    <w:p w:rsidR="006B512D" w:rsidRPr="006B512D" w:rsidRDefault="006B512D" w:rsidP="006B512D">
      <w:pPr>
        <w:jc w:val="both"/>
        <w:rPr>
          <w:rFonts w:ascii="Tw Cen MT" w:hAnsi="Tw Cen MT"/>
        </w:rPr>
      </w:pPr>
    </w:p>
    <w:p w:rsidR="006B512D" w:rsidRPr="006B512D" w:rsidRDefault="006B512D" w:rsidP="006B512D">
      <w:pPr>
        <w:jc w:val="both"/>
        <w:rPr>
          <w:rFonts w:ascii="Tw Cen MT" w:hAnsi="Tw Cen MT"/>
        </w:rPr>
      </w:pPr>
      <w:r w:rsidRPr="006B512D">
        <w:rPr>
          <w:rFonts w:ascii="Tw Cen MT" w:hAnsi="Tw Cen MT"/>
        </w:rPr>
        <w:t>Typically, around 10% of participants decline their acceptance for one reason or another all the way up until the day of the summit (ex. finances, weddings, jobs, change of mind, funerals, etc.).  For this reason, we recommend having waitlist and accepting off of the international waitlist until 3 months out from a summit.  After 3 months, we recommend accepting local participants on the waitlist (to reduce travel burdens for the participants and the organizing team as well as increase local capacity).</w:t>
      </w:r>
    </w:p>
    <w:p w:rsidR="006B512D" w:rsidRPr="006B512D" w:rsidRDefault="006B512D" w:rsidP="006B512D">
      <w:pPr>
        <w:jc w:val="both"/>
        <w:rPr>
          <w:rFonts w:ascii="Tw Cen MT" w:hAnsi="Tw Cen MT"/>
        </w:rPr>
      </w:pPr>
    </w:p>
    <w:p w:rsidR="006B512D" w:rsidRPr="006B512D" w:rsidRDefault="006B512D" w:rsidP="006B512D">
      <w:pPr>
        <w:jc w:val="both"/>
        <w:rPr>
          <w:rFonts w:ascii="Tw Cen MT" w:hAnsi="Tw Cen MT"/>
        </w:rPr>
      </w:pPr>
      <w:r w:rsidRPr="006B512D">
        <w:rPr>
          <w:rFonts w:ascii="Tw Cen MT" w:hAnsi="Tw Cen MT"/>
        </w:rPr>
        <w:t xml:space="preserve">Please share with us the Google excel sheet below </w:t>
      </w:r>
      <w:proofErr w:type="gramStart"/>
      <w:r w:rsidRPr="006B512D">
        <w:rPr>
          <w:rFonts w:ascii="Tw Cen MT" w:hAnsi="Tw Cen MT"/>
        </w:rPr>
        <w:t>who</w:t>
      </w:r>
      <w:proofErr w:type="gramEnd"/>
      <w:r w:rsidRPr="006B512D">
        <w:rPr>
          <w:rFonts w:ascii="Tw Cen MT" w:hAnsi="Tw Cen MT"/>
        </w:rPr>
        <w:t xml:space="preserve"> you acce</w:t>
      </w:r>
      <w:r w:rsidRPr="006B512D">
        <w:rPr>
          <w:rFonts w:ascii="Tw Cen MT" w:hAnsi="Tw Cen MT"/>
        </w:rPr>
        <w:t>pted and their application info (this could be the second tab of the Google sheet you shared above).</w:t>
      </w:r>
    </w:p>
    <w:p w:rsidR="006B512D" w:rsidRPr="006B512D" w:rsidRDefault="006B512D" w:rsidP="006B512D">
      <w:pPr>
        <w:jc w:val="both"/>
        <w:rPr>
          <w:rFonts w:ascii="Tw Cen MT" w:hAnsi="Tw Cen MT"/>
          <w:sz w:val="48"/>
          <w:szCs w:val="48"/>
        </w:rPr>
      </w:pPr>
    </w:p>
    <w:p w:rsidR="006B512D" w:rsidRPr="006B512D" w:rsidRDefault="006B512D">
      <w:pPr>
        <w:rPr>
          <w:rFonts w:ascii="Tw Cen MT" w:hAnsi="Tw Cen MT"/>
        </w:rPr>
      </w:pPr>
    </w:p>
    <w:p w:rsidR="006B512D" w:rsidRPr="006B512D" w:rsidRDefault="006B512D">
      <w:pPr>
        <w:rPr>
          <w:rFonts w:ascii="Tw Cen MT" w:hAnsi="Tw Cen MT"/>
        </w:rPr>
      </w:pPr>
    </w:p>
    <w:p w:rsidR="006B512D" w:rsidRPr="006B512D" w:rsidRDefault="006B512D">
      <w:pPr>
        <w:rPr>
          <w:rFonts w:ascii="Tw Cen MT" w:hAnsi="Tw Cen MT"/>
        </w:rPr>
      </w:pPr>
    </w:p>
    <w:p w:rsidR="006B512D" w:rsidRPr="006B512D" w:rsidRDefault="006B512D">
      <w:pPr>
        <w:rPr>
          <w:rFonts w:ascii="Tw Cen MT" w:hAnsi="Tw Cen MT"/>
        </w:rPr>
      </w:pPr>
    </w:p>
    <w:p w:rsidR="006B512D" w:rsidRPr="006B512D" w:rsidRDefault="006B512D">
      <w:pPr>
        <w:rPr>
          <w:rFonts w:ascii="Tw Cen MT" w:hAnsi="Tw Cen MT"/>
        </w:rPr>
      </w:pPr>
    </w:p>
    <w:p w:rsidR="006B512D" w:rsidRPr="006B512D" w:rsidRDefault="006B512D">
      <w:pPr>
        <w:rPr>
          <w:rFonts w:ascii="Tw Cen MT" w:hAnsi="Tw Cen MT"/>
        </w:rPr>
      </w:pPr>
    </w:p>
    <w:p w:rsidR="006B512D" w:rsidRPr="006B512D" w:rsidRDefault="006B512D">
      <w:pPr>
        <w:rPr>
          <w:rFonts w:ascii="Tw Cen MT" w:hAnsi="Tw Cen MT"/>
        </w:rPr>
      </w:pPr>
    </w:p>
    <w:p w:rsidR="006B512D" w:rsidRPr="006B512D" w:rsidRDefault="006B512D">
      <w:pPr>
        <w:rPr>
          <w:rFonts w:ascii="Tw Cen MT" w:hAnsi="Tw Cen MT"/>
        </w:rPr>
      </w:pPr>
    </w:p>
    <w:p w:rsidR="006B512D" w:rsidRPr="006B512D" w:rsidRDefault="006B512D">
      <w:pPr>
        <w:rPr>
          <w:rFonts w:ascii="Tw Cen MT" w:hAnsi="Tw Cen MT"/>
        </w:rPr>
      </w:pPr>
    </w:p>
    <w:p w:rsidR="006B512D" w:rsidRDefault="006B512D">
      <w:pPr>
        <w:rPr>
          <w:rFonts w:ascii="Tw Cen MT" w:hAnsi="Tw Cen MT"/>
        </w:rPr>
      </w:pPr>
    </w:p>
    <w:p w:rsidR="006B512D" w:rsidRDefault="006B512D">
      <w:pPr>
        <w:rPr>
          <w:rFonts w:ascii="Tw Cen MT" w:hAnsi="Tw Cen MT"/>
        </w:rPr>
      </w:pPr>
      <w:r>
        <w:rPr>
          <w:rFonts w:ascii="Tw Cen MT" w:hAnsi="Tw Cen MT"/>
        </w:rPr>
        <w:t xml:space="preserve">At IDDS, it is our hope and dream that everyone who wants to be a participant </w:t>
      </w:r>
      <w:r>
        <w:rPr>
          <w:rFonts w:ascii="Tw Cen MT" w:hAnsi="Tw Cen MT"/>
          <w:i/>
        </w:rPr>
        <w:t xml:space="preserve">can </w:t>
      </w:r>
      <w:r>
        <w:rPr>
          <w:rFonts w:ascii="Tw Cen MT" w:hAnsi="Tw Cen MT"/>
        </w:rPr>
        <w:t xml:space="preserve">be a participant. Nevertheless, capacity at a particular summit is limited.  Unlike many programs that send a simple rejection letter, we like to send applicants a note that offers others opportunities for them to engage in IDIN.  </w:t>
      </w:r>
      <w:r w:rsidRPr="006B512D">
        <w:rPr>
          <w:rFonts w:ascii="Tw Cen MT" w:hAnsi="Tw Cen MT"/>
        </w:rPr>
        <w:t xml:space="preserve"> </w:t>
      </w:r>
      <w:r w:rsidRPr="006B512D">
        <w:rPr>
          <w:rFonts w:ascii="Tw Cen MT" w:hAnsi="Tw Cen MT"/>
          <w:b/>
          <w:noProof/>
        </w:rPr>
        <mc:AlternateContent>
          <mc:Choice Requires="wps">
            <w:drawing>
              <wp:anchor distT="0" distB="0" distL="114300" distR="114300" simplePos="0" relativeHeight="251665408" behindDoc="0" locked="0" layoutInCell="1" allowOverlap="1" wp14:anchorId="6C613D3C" wp14:editId="69770C19">
                <wp:simplePos x="0" y="0"/>
                <wp:positionH relativeFrom="column">
                  <wp:posOffset>0</wp:posOffset>
                </wp:positionH>
                <wp:positionV relativeFrom="paragraph">
                  <wp:posOffset>0</wp:posOffset>
                </wp:positionV>
                <wp:extent cx="5600700" cy="3429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B512D" w:rsidRPr="0011720F" w:rsidRDefault="006B512D" w:rsidP="006B512D">
                            <w:pPr>
                              <w:rPr>
                                <w:rFonts w:ascii="Tw Cen MT" w:hAnsi="Tw Cen MT"/>
                                <w:color w:val="FFFFFF" w:themeColor="background1"/>
                                <w:sz w:val="28"/>
                                <w:szCs w:val="28"/>
                              </w:rPr>
                            </w:pPr>
                            <w:r>
                              <w:rPr>
                                <w:rFonts w:ascii="Tw Cen MT" w:hAnsi="Tw Cen MT"/>
                                <w:color w:val="FFFFFF" w:themeColor="background1"/>
                                <w:sz w:val="28"/>
                                <w:szCs w:val="28"/>
                              </w:rPr>
                              <w:t>The Non-Accepted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0;margin-top:0;width:441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" fillcolor="#f79646 [3209]" stroked="f">
                <v:textbox>
                  <w:txbxContent>
                    <w:p w:rsidR="006B512D" w:rsidRPr="0011720F" w:rsidRDefault="006B512D" w:rsidP="006B512D">
                      <w:pPr>
                        <w:rPr>
                          <w:rFonts w:ascii="Tw Cen MT" w:hAnsi="Tw Cen MT"/>
                          <w:color w:val="FFFFFF" w:themeColor="background1"/>
                          <w:sz w:val="28"/>
                          <w:szCs w:val="28"/>
                        </w:rPr>
                      </w:pPr>
                      <w:r>
                        <w:rPr>
                          <w:rFonts w:ascii="Tw Cen MT" w:hAnsi="Tw Cen MT"/>
                          <w:color w:val="FFFFFF" w:themeColor="background1"/>
                          <w:sz w:val="28"/>
                          <w:szCs w:val="28"/>
                        </w:rPr>
                        <w:t>The Non-Accepted List</w:t>
                      </w:r>
                    </w:p>
                  </w:txbxContent>
                </v:textbox>
                <w10:wrap type="square"/>
              </v:shape>
            </w:pict>
          </mc:Fallback>
        </mc:AlternateContent>
      </w:r>
    </w:p>
    <w:p w:rsidR="006B512D" w:rsidRDefault="006B512D">
      <w:pPr>
        <w:rPr>
          <w:rFonts w:ascii="Tw Cen MT" w:hAnsi="Tw Cen MT"/>
        </w:rPr>
      </w:pPr>
    </w:p>
    <w:p w:rsidR="005C3C91" w:rsidRDefault="006B512D">
      <w:pPr>
        <w:rPr>
          <w:rFonts w:ascii="Tw Cen MT" w:hAnsi="Tw Cen MT"/>
        </w:rPr>
      </w:pPr>
      <w:r>
        <w:rPr>
          <w:rFonts w:ascii="Tw Cen MT" w:hAnsi="Tw Cen MT"/>
        </w:rPr>
        <w:t>As these typically tend to be the more sensitive letters to send that require more compressive knowledge of other opportunities throughout IDIN</w:t>
      </w:r>
      <w:proofErr w:type="gramStart"/>
      <w:r>
        <w:rPr>
          <w:rFonts w:ascii="Tw Cen MT" w:hAnsi="Tw Cen MT"/>
        </w:rPr>
        <w:t>,  this</w:t>
      </w:r>
      <w:proofErr w:type="gramEnd"/>
      <w:r>
        <w:rPr>
          <w:rFonts w:ascii="Tw Cen MT" w:hAnsi="Tw Cen MT"/>
        </w:rPr>
        <w:t xml:space="preserve"> letter is typically sent by the IDIN Summits Coordinator.  </w:t>
      </w:r>
    </w:p>
    <w:p w:rsidR="006B512D" w:rsidRDefault="006B512D">
      <w:pPr>
        <w:rPr>
          <w:rFonts w:ascii="Tw Cen MT" w:hAnsi="Tw Cen MT"/>
        </w:rPr>
      </w:pPr>
    </w:p>
    <w:p w:rsidR="006B512D" w:rsidRDefault="006B512D">
      <w:pPr>
        <w:rPr>
          <w:rFonts w:ascii="Tw Cen MT" w:hAnsi="Tw Cen MT"/>
        </w:rPr>
      </w:pPr>
      <w:r>
        <w:rPr>
          <w:rFonts w:ascii="Tw Cen MT" w:hAnsi="Tw Cen MT"/>
        </w:rPr>
        <w:t xml:space="preserve">Please share with us a list below of the names and emails of people that were </w:t>
      </w:r>
      <w:r>
        <w:rPr>
          <w:rFonts w:ascii="Tw Cen MT" w:hAnsi="Tw Cen MT"/>
          <w:b/>
        </w:rPr>
        <w:t>not</w:t>
      </w:r>
      <w:r>
        <w:rPr>
          <w:rFonts w:ascii="Tw Cen MT" w:hAnsi="Tw Cen MT"/>
        </w:rPr>
        <w:t xml:space="preserve"> selected to participate in your IDDS and we can email them with more information and opportunities to connect with IDIN. </w:t>
      </w:r>
    </w:p>
    <w:p w:rsidR="006B512D" w:rsidRDefault="006B512D">
      <w:pPr>
        <w:rPr>
          <w:rFonts w:ascii="Tw Cen MT" w:hAnsi="Tw Cen MT"/>
        </w:rPr>
      </w:pPr>
      <w:bookmarkStart w:id="0" w:name="_GoBack"/>
      <w:bookmarkEnd w:id="0"/>
    </w:p>
    <w:p w:rsidR="006B512D" w:rsidRDefault="006B512D">
      <w:pPr>
        <w:rPr>
          <w:rFonts w:ascii="Tw Cen MT" w:hAnsi="Tw Cen MT"/>
        </w:rPr>
      </w:pPr>
    </w:p>
    <w:p w:rsidR="006B512D" w:rsidRDefault="006B512D">
      <w:pPr>
        <w:rPr>
          <w:rFonts w:ascii="Tw Cen MT" w:hAnsi="Tw Cen MT"/>
        </w:rPr>
      </w:pPr>
    </w:p>
    <w:tbl>
      <w:tblPr>
        <w:tblStyle w:val="LightShading-Accent6"/>
        <w:tblW w:w="0" w:type="auto"/>
        <w:tblLook w:val="04A0" w:firstRow="1" w:lastRow="0" w:firstColumn="1" w:lastColumn="0" w:noHBand="0" w:noVBand="1"/>
      </w:tblPr>
      <w:tblGrid>
        <w:gridCol w:w="4428"/>
        <w:gridCol w:w="4428"/>
      </w:tblGrid>
      <w:tr w:rsidR="006B512D" w:rsidTr="006B51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6B512D" w:rsidRPr="006B512D" w:rsidRDefault="006B512D">
            <w:pPr>
              <w:rPr>
                <w:rFonts w:ascii="Tw Cen MT" w:hAnsi="Tw Cen MT"/>
                <w:b w:val="0"/>
              </w:rPr>
            </w:pPr>
            <w:r w:rsidRPr="006B512D">
              <w:rPr>
                <w:rFonts w:ascii="Tw Cen MT" w:hAnsi="Tw Cen MT"/>
                <w:b w:val="0"/>
              </w:rPr>
              <w:t>Name</w:t>
            </w:r>
          </w:p>
        </w:tc>
        <w:tc>
          <w:tcPr>
            <w:tcW w:w="4428" w:type="dxa"/>
          </w:tcPr>
          <w:p w:rsidR="006B512D" w:rsidRPr="006B512D" w:rsidRDefault="006B512D">
            <w:pPr>
              <w:cnfStyle w:val="100000000000" w:firstRow="1" w:lastRow="0" w:firstColumn="0" w:lastColumn="0" w:oddVBand="0" w:evenVBand="0" w:oddHBand="0" w:evenHBand="0" w:firstRowFirstColumn="0" w:firstRowLastColumn="0" w:lastRowFirstColumn="0" w:lastRowLastColumn="0"/>
              <w:rPr>
                <w:rFonts w:ascii="Tw Cen MT" w:hAnsi="Tw Cen MT"/>
                <w:b w:val="0"/>
              </w:rPr>
            </w:pPr>
            <w:r w:rsidRPr="006B512D">
              <w:rPr>
                <w:rFonts w:ascii="Tw Cen MT" w:hAnsi="Tw Cen MT"/>
                <w:b w:val="0"/>
              </w:rPr>
              <w:t>Email</w:t>
            </w:r>
          </w:p>
        </w:tc>
      </w:tr>
      <w:tr w:rsidR="006B512D" w:rsidTr="006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6B512D" w:rsidRDefault="006B512D" w:rsidP="006B512D">
            <w:pPr>
              <w:tabs>
                <w:tab w:val="left" w:pos="1427"/>
              </w:tabs>
              <w:rPr>
                <w:rFonts w:ascii="Tw Cen MT" w:hAnsi="Tw Cen MT"/>
              </w:rPr>
            </w:pPr>
            <w:r>
              <w:rPr>
                <w:rFonts w:ascii="Tw Cen MT" w:hAnsi="Tw Cen MT"/>
              </w:rPr>
              <w:tab/>
            </w:r>
          </w:p>
        </w:tc>
        <w:tc>
          <w:tcPr>
            <w:tcW w:w="4428" w:type="dxa"/>
          </w:tcPr>
          <w:p w:rsidR="006B512D" w:rsidRDefault="006B512D">
            <w:pPr>
              <w:cnfStyle w:val="000000100000" w:firstRow="0" w:lastRow="0" w:firstColumn="0" w:lastColumn="0" w:oddVBand="0" w:evenVBand="0" w:oddHBand="1" w:evenHBand="0" w:firstRowFirstColumn="0" w:firstRowLastColumn="0" w:lastRowFirstColumn="0" w:lastRowLastColumn="0"/>
              <w:rPr>
                <w:rFonts w:ascii="Tw Cen MT" w:hAnsi="Tw Cen MT"/>
              </w:rPr>
            </w:pPr>
          </w:p>
        </w:tc>
      </w:tr>
      <w:tr w:rsidR="006B512D" w:rsidTr="006B512D">
        <w:tc>
          <w:tcPr>
            <w:cnfStyle w:val="001000000000" w:firstRow="0" w:lastRow="0" w:firstColumn="1" w:lastColumn="0" w:oddVBand="0" w:evenVBand="0" w:oddHBand="0" w:evenHBand="0" w:firstRowFirstColumn="0" w:firstRowLastColumn="0" w:lastRowFirstColumn="0" w:lastRowLastColumn="0"/>
            <w:tcW w:w="4428" w:type="dxa"/>
          </w:tcPr>
          <w:p w:rsidR="006B512D" w:rsidRDefault="006B512D">
            <w:pPr>
              <w:rPr>
                <w:rFonts w:ascii="Tw Cen MT" w:hAnsi="Tw Cen MT"/>
              </w:rPr>
            </w:pPr>
          </w:p>
        </w:tc>
        <w:tc>
          <w:tcPr>
            <w:tcW w:w="4428" w:type="dxa"/>
          </w:tcPr>
          <w:p w:rsidR="006B512D" w:rsidRDefault="006B512D">
            <w:pPr>
              <w:cnfStyle w:val="000000000000" w:firstRow="0" w:lastRow="0" w:firstColumn="0" w:lastColumn="0" w:oddVBand="0" w:evenVBand="0" w:oddHBand="0" w:evenHBand="0" w:firstRowFirstColumn="0" w:firstRowLastColumn="0" w:lastRowFirstColumn="0" w:lastRowLastColumn="0"/>
              <w:rPr>
                <w:rFonts w:ascii="Tw Cen MT" w:hAnsi="Tw Cen MT"/>
              </w:rPr>
            </w:pPr>
          </w:p>
        </w:tc>
      </w:tr>
      <w:tr w:rsidR="006B512D" w:rsidTr="006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6B512D" w:rsidRDefault="006B512D">
            <w:pPr>
              <w:rPr>
                <w:rFonts w:ascii="Tw Cen MT" w:hAnsi="Tw Cen MT"/>
              </w:rPr>
            </w:pPr>
          </w:p>
        </w:tc>
        <w:tc>
          <w:tcPr>
            <w:tcW w:w="4428" w:type="dxa"/>
          </w:tcPr>
          <w:p w:rsidR="006B512D" w:rsidRDefault="006B512D">
            <w:pPr>
              <w:cnfStyle w:val="000000100000" w:firstRow="0" w:lastRow="0" w:firstColumn="0" w:lastColumn="0" w:oddVBand="0" w:evenVBand="0" w:oddHBand="1" w:evenHBand="0" w:firstRowFirstColumn="0" w:firstRowLastColumn="0" w:lastRowFirstColumn="0" w:lastRowLastColumn="0"/>
              <w:rPr>
                <w:rFonts w:ascii="Tw Cen MT" w:hAnsi="Tw Cen MT"/>
              </w:rPr>
            </w:pPr>
          </w:p>
        </w:tc>
      </w:tr>
      <w:tr w:rsidR="006B512D" w:rsidTr="006B512D">
        <w:tc>
          <w:tcPr>
            <w:cnfStyle w:val="001000000000" w:firstRow="0" w:lastRow="0" w:firstColumn="1" w:lastColumn="0" w:oddVBand="0" w:evenVBand="0" w:oddHBand="0" w:evenHBand="0" w:firstRowFirstColumn="0" w:firstRowLastColumn="0" w:lastRowFirstColumn="0" w:lastRowLastColumn="0"/>
            <w:tcW w:w="4428" w:type="dxa"/>
          </w:tcPr>
          <w:p w:rsidR="006B512D" w:rsidRDefault="006B512D">
            <w:pPr>
              <w:rPr>
                <w:rFonts w:ascii="Tw Cen MT" w:hAnsi="Tw Cen MT"/>
              </w:rPr>
            </w:pPr>
          </w:p>
        </w:tc>
        <w:tc>
          <w:tcPr>
            <w:tcW w:w="4428" w:type="dxa"/>
          </w:tcPr>
          <w:p w:rsidR="006B512D" w:rsidRDefault="006B512D">
            <w:pPr>
              <w:cnfStyle w:val="000000000000" w:firstRow="0" w:lastRow="0" w:firstColumn="0" w:lastColumn="0" w:oddVBand="0" w:evenVBand="0" w:oddHBand="0" w:evenHBand="0" w:firstRowFirstColumn="0" w:firstRowLastColumn="0" w:lastRowFirstColumn="0" w:lastRowLastColumn="0"/>
              <w:rPr>
                <w:rFonts w:ascii="Tw Cen MT" w:hAnsi="Tw Cen MT"/>
              </w:rPr>
            </w:pPr>
          </w:p>
        </w:tc>
      </w:tr>
      <w:tr w:rsidR="006B512D" w:rsidTr="006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6B512D" w:rsidRDefault="006B512D">
            <w:pPr>
              <w:rPr>
                <w:rFonts w:ascii="Tw Cen MT" w:hAnsi="Tw Cen MT"/>
              </w:rPr>
            </w:pPr>
          </w:p>
        </w:tc>
        <w:tc>
          <w:tcPr>
            <w:tcW w:w="4428" w:type="dxa"/>
          </w:tcPr>
          <w:p w:rsidR="006B512D" w:rsidRDefault="006B512D">
            <w:pPr>
              <w:cnfStyle w:val="000000100000" w:firstRow="0" w:lastRow="0" w:firstColumn="0" w:lastColumn="0" w:oddVBand="0" w:evenVBand="0" w:oddHBand="1" w:evenHBand="0" w:firstRowFirstColumn="0" w:firstRowLastColumn="0" w:lastRowFirstColumn="0" w:lastRowLastColumn="0"/>
              <w:rPr>
                <w:rFonts w:ascii="Tw Cen MT" w:hAnsi="Tw Cen MT"/>
              </w:rPr>
            </w:pPr>
          </w:p>
        </w:tc>
      </w:tr>
      <w:tr w:rsidR="006B512D" w:rsidTr="006B512D">
        <w:tc>
          <w:tcPr>
            <w:cnfStyle w:val="001000000000" w:firstRow="0" w:lastRow="0" w:firstColumn="1" w:lastColumn="0" w:oddVBand="0" w:evenVBand="0" w:oddHBand="0" w:evenHBand="0" w:firstRowFirstColumn="0" w:firstRowLastColumn="0" w:lastRowFirstColumn="0" w:lastRowLastColumn="0"/>
            <w:tcW w:w="4428" w:type="dxa"/>
          </w:tcPr>
          <w:p w:rsidR="006B512D" w:rsidRDefault="006B512D">
            <w:pPr>
              <w:rPr>
                <w:rFonts w:ascii="Tw Cen MT" w:hAnsi="Tw Cen MT"/>
              </w:rPr>
            </w:pPr>
          </w:p>
        </w:tc>
        <w:tc>
          <w:tcPr>
            <w:tcW w:w="4428" w:type="dxa"/>
          </w:tcPr>
          <w:p w:rsidR="006B512D" w:rsidRDefault="006B512D">
            <w:pPr>
              <w:cnfStyle w:val="000000000000" w:firstRow="0" w:lastRow="0" w:firstColumn="0" w:lastColumn="0" w:oddVBand="0" w:evenVBand="0" w:oddHBand="0" w:evenHBand="0" w:firstRowFirstColumn="0" w:firstRowLastColumn="0" w:lastRowFirstColumn="0" w:lastRowLastColumn="0"/>
              <w:rPr>
                <w:rFonts w:ascii="Tw Cen MT" w:hAnsi="Tw Cen MT"/>
              </w:rPr>
            </w:pPr>
          </w:p>
        </w:tc>
      </w:tr>
      <w:tr w:rsidR="006B512D" w:rsidTr="006B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6B512D" w:rsidRDefault="006B512D">
            <w:pPr>
              <w:rPr>
                <w:rFonts w:ascii="Tw Cen MT" w:hAnsi="Tw Cen MT"/>
              </w:rPr>
            </w:pPr>
          </w:p>
        </w:tc>
        <w:tc>
          <w:tcPr>
            <w:tcW w:w="4428" w:type="dxa"/>
          </w:tcPr>
          <w:p w:rsidR="006B512D" w:rsidRDefault="006B512D">
            <w:pPr>
              <w:cnfStyle w:val="000000100000" w:firstRow="0" w:lastRow="0" w:firstColumn="0" w:lastColumn="0" w:oddVBand="0" w:evenVBand="0" w:oddHBand="1" w:evenHBand="0" w:firstRowFirstColumn="0" w:firstRowLastColumn="0" w:lastRowFirstColumn="0" w:lastRowLastColumn="0"/>
              <w:rPr>
                <w:rFonts w:ascii="Tw Cen MT" w:hAnsi="Tw Cen MT"/>
              </w:rPr>
            </w:pPr>
          </w:p>
        </w:tc>
      </w:tr>
    </w:tbl>
    <w:p w:rsidR="006B512D" w:rsidRPr="006B512D" w:rsidRDefault="006B512D">
      <w:pPr>
        <w:rPr>
          <w:rFonts w:ascii="Tw Cen MT" w:hAnsi="Tw Cen MT"/>
        </w:rPr>
      </w:pPr>
    </w:p>
    <w:sectPr w:rsidR="006B512D" w:rsidRPr="006B512D" w:rsidSect="005C3C9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2D" w:rsidRDefault="006B512D" w:rsidP="006B512D">
      <w:r>
        <w:separator/>
      </w:r>
    </w:p>
  </w:endnote>
  <w:endnote w:type="continuationSeparator" w:id="0">
    <w:p w:rsidR="006B512D" w:rsidRDefault="006B512D" w:rsidP="006B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2D" w:rsidRDefault="006B512D">
    <w:pPr>
      <w:pStyle w:val="Footer"/>
    </w:pPr>
    <w:r w:rsidRPr="006B512D">
      <w:drawing>
        <wp:inline distT="0" distB="0" distL="0" distR="0" wp14:anchorId="41A890EE" wp14:editId="7ACCC7C9">
          <wp:extent cx="5486400" cy="591820"/>
          <wp:effectExtent l="508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2D" w:rsidRDefault="006B512D" w:rsidP="006B512D">
      <w:r>
        <w:separator/>
      </w:r>
    </w:p>
  </w:footnote>
  <w:footnote w:type="continuationSeparator" w:id="0">
    <w:p w:rsidR="006B512D" w:rsidRDefault="006B512D" w:rsidP="006B5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2D"/>
    <w:rsid w:val="005C3C91"/>
    <w:rsid w:val="006B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F3A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12D"/>
    <w:pPr>
      <w:tabs>
        <w:tab w:val="center" w:pos="4320"/>
        <w:tab w:val="right" w:pos="8640"/>
      </w:tabs>
    </w:pPr>
  </w:style>
  <w:style w:type="character" w:customStyle="1" w:styleId="HeaderChar">
    <w:name w:val="Header Char"/>
    <w:basedOn w:val="DefaultParagraphFont"/>
    <w:link w:val="Header"/>
    <w:uiPriority w:val="99"/>
    <w:rsid w:val="006B512D"/>
  </w:style>
  <w:style w:type="paragraph" w:styleId="Footer">
    <w:name w:val="footer"/>
    <w:basedOn w:val="Normal"/>
    <w:link w:val="FooterChar"/>
    <w:uiPriority w:val="99"/>
    <w:unhideWhenUsed/>
    <w:rsid w:val="006B512D"/>
    <w:pPr>
      <w:tabs>
        <w:tab w:val="center" w:pos="4320"/>
        <w:tab w:val="right" w:pos="8640"/>
      </w:tabs>
    </w:pPr>
  </w:style>
  <w:style w:type="character" w:customStyle="1" w:styleId="FooterChar">
    <w:name w:val="Footer Char"/>
    <w:basedOn w:val="DefaultParagraphFont"/>
    <w:link w:val="Footer"/>
    <w:uiPriority w:val="99"/>
    <w:rsid w:val="006B512D"/>
  </w:style>
  <w:style w:type="paragraph" w:styleId="BalloonText">
    <w:name w:val="Balloon Text"/>
    <w:basedOn w:val="Normal"/>
    <w:link w:val="BalloonTextChar"/>
    <w:uiPriority w:val="99"/>
    <w:semiHidden/>
    <w:unhideWhenUsed/>
    <w:rsid w:val="006B5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12D"/>
    <w:rPr>
      <w:rFonts w:ascii="Lucida Grande" w:hAnsi="Lucida Grande" w:cs="Lucida Grande"/>
      <w:sz w:val="18"/>
      <w:szCs w:val="18"/>
    </w:rPr>
  </w:style>
  <w:style w:type="table" w:styleId="TableGrid">
    <w:name w:val="Table Grid"/>
    <w:basedOn w:val="TableNormal"/>
    <w:uiPriority w:val="59"/>
    <w:rsid w:val="006B5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6B512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12D"/>
    <w:pPr>
      <w:tabs>
        <w:tab w:val="center" w:pos="4320"/>
        <w:tab w:val="right" w:pos="8640"/>
      </w:tabs>
    </w:pPr>
  </w:style>
  <w:style w:type="character" w:customStyle="1" w:styleId="HeaderChar">
    <w:name w:val="Header Char"/>
    <w:basedOn w:val="DefaultParagraphFont"/>
    <w:link w:val="Header"/>
    <w:uiPriority w:val="99"/>
    <w:rsid w:val="006B512D"/>
  </w:style>
  <w:style w:type="paragraph" w:styleId="Footer">
    <w:name w:val="footer"/>
    <w:basedOn w:val="Normal"/>
    <w:link w:val="FooterChar"/>
    <w:uiPriority w:val="99"/>
    <w:unhideWhenUsed/>
    <w:rsid w:val="006B512D"/>
    <w:pPr>
      <w:tabs>
        <w:tab w:val="center" w:pos="4320"/>
        <w:tab w:val="right" w:pos="8640"/>
      </w:tabs>
    </w:pPr>
  </w:style>
  <w:style w:type="character" w:customStyle="1" w:styleId="FooterChar">
    <w:name w:val="Footer Char"/>
    <w:basedOn w:val="DefaultParagraphFont"/>
    <w:link w:val="Footer"/>
    <w:uiPriority w:val="99"/>
    <w:rsid w:val="006B512D"/>
  </w:style>
  <w:style w:type="paragraph" w:styleId="BalloonText">
    <w:name w:val="Balloon Text"/>
    <w:basedOn w:val="Normal"/>
    <w:link w:val="BalloonTextChar"/>
    <w:uiPriority w:val="99"/>
    <w:semiHidden/>
    <w:unhideWhenUsed/>
    <w:rsid w:val="006B5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12D"/>
    <w:rPr>
      <w:rFonts w:ascii="Lucida Grande" w:hAnsi="Lucida Grande" w:cs="Lucida Grande"/>
      <w:sz w:val="18"/>
      <w:szCs w:val="18"/>
    </w:rPr>
  </w:style>
  <w:style w:type="table" w:styleId="TableGrid">
    <w:name w:val="Table Grid"/>
    <w:basedOn w:val="TableNormal"/>
    <w:uiPriority w:val="59"/>
    <w:rsid w:val="006B5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6B512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a:solidFill>
          <a:schemeClr val="accent5">
            <a:lumMod val="75000"/>
          </a:schemeClr>
        </a:solidFill>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03A77647-8CDD-BF4F-B4DB-97A0222998B8}" srcId="{AA0F1E3F-D76B-5A4E-AB86-F11F24E73A63}" destId="{0566A6C7-F1CC-ED49-B969-6908AE84F434}" srcOrd="0" destOrd="0" parTransId="{4585004F-5408-7E40-B0C3-4AA8870D8887}" sibTransId="{9011F3D2-EF3A-194C-9539-4C68083F3472}"/>
    <dgm:cxn modelId="{511D7B8B-3051-F042-B198-5E5772777849}" type="presOf" srcId="{FC43C9FE-279D-574E-8BEF-B7745C070C01}" destId="{C945CA25-A965-7C47-AE6E-66D49AEA4B41}" srcOrd="0" destOrd="0" presId="urn:microsoft.com/office/officeart/2005/8/layout/chevron1"/>
    <dgm:cxn modelId="{823A16AE-DDAA-2849-AFFF-C6E784CE2B75}" type="presOf" srcId="{3349F722-10E5-5841-9197-D8A600C1EF07}" destId="{A7F0AB9F-81D6-AD4F-8F57-54CB7B5F1439}"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35909A00-CFBF-7049-AABF-66F39C2B9944}" srcId="{AA0F1E3F-D76B-5A4E-AB86-F11F24E73A63}" destId="{4974C817-8007-C848-AC26-92C18E008BB1}" srcOrd="1" destOrd="0" parTransId="{A64FF3B6-FC4F-9C4B-AE85-C3EA18C116BF}" sibTransId="{E6B20350-94D4-1C46-83C9-829A0544519A}"/>
    <dgm:cxn modelId="{E3B5633B-672E-9F4B-9BB8-F7F268F988C8}" type="presOf" srcId="{F662793A-25A6-164D-AC92-CA179BDBF117}" destId="{166833E9-008F-1148-8028-25E0C6C40A6F}" srcOrd="0" destOrd="0" presId="urn:microsoft.com/office/officeart/2005/8/layout/chevron1"/>
    <dgm:cxn modelId="{FA9464CE-39C0-9C40-B479-EB42041D2CED}" type="presOf" srcId="{A196E9A5-39A8-8649-80E5-AEE1F55053A9}" destId="{0BC8E9C4-713B-1E40-9974-B098BCD917BE}" srcOrd="0" destOrd="0" presId="urn:microsoft.com/office/officeart/2005/8/layout/chevron1"/>
    <dgm:cxn modelId="{6B1676A2-803D-4A48-A8E2-E9D6C2332F66}" srcId="{AA0F1E3F-D76B-5A4E-AB86-F11F24E73A63}" destId="{FC43C9FE-279D-574E-8BEF-B7745C070C01}" srcOrd="5" destOrd="0" parTransId="{B2E08324-B2C6-F444-9ED4-619F2F1C9BF6}" sibTransId="{730771A2-8FB8-C34E-A550-3F280D63C3BA}"/>
    <dgm:cxn modelId="{91FA0EA3-A9BD-9641-809A-479CB7FACD53}" type="presOf" srcId="{4974C817-8007-C848-AC26-92C18E008BB1}" destId="{24358747-C6BB-A94A-BEB5-9531AA761A69}" srcOrd="0" destOrd="0" presId="urn:microsoft.com/office/officeart/2005/8/layout/chevron1"/>
    <dgm:cxn modelId="{299598BC-FA0C-2A4E-AF80-8303F3B68DD6}" type="presOf" srcId="{77040D3F-888B-5246-9D4A-7913F964643D}" destId="{1433FC16-EB7C-A243-9A80-1175F36F78EE}"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B0E46F6A-647D-734E-A95D-69D8C6AE6EB2}" type="presOf" srcId="{AA0F1E3F-D76B-5A4E-AB86-F11F24E73A63}" destId="{8413CAAA-D78A-4141-91C1-69A13DC334BC}"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D258B4DF-45F3-B946-B83B-4333E6341FF8}" type="presOf" srcId="{0566A6C7-F1CC-ED49-B969-6908AE84F434}" destId="{ECF0B5C3-D62D-A645-9BD1-B78431EC4552}" srcOrd="0" destOrd="0" presId="urn:microsoft.com/office/officeart/2005/8/layout/chevron1"/>
    <dgm:cxn modelId="{D3BEEB9D-AB5C-A248-B157-3B2030DDF38A}" type="presParOf" srcId="{8413CAAA-D78A-4141-91C1-69A13DC334BC}" destId="{ECF0B5C3-D62D-A645-9BD1-B78431EC4552}" srcOrd="0" destOrd="0" presId="urn:microsoft.com/office/officeart/2005/8/layout/chevron1"/>
    <dgm:cxn modelId="{A7EEBE08-3EC5-134C-AA8B-726A8C81732D}" type="presParOf" srcId="{8413CAAA-D78A-4141-91C1-69A13DC334BC}" destId="{F7CF0A31-35B2-1942-B3E7-7BA4365C37DC}" srcOrd="1" destOrd="0" presId="urn:microsoft.com/office/officeart/2005/8/layout/chevron1"/>
    <dgm:cxn modelId="{DBE3F728-F790-D449-8266-2EF09C8CDB0E}" type="presParOf" srcId="{8413CAAA-D78A-4141-91C1-69A13DC334BC}" destId="{24358747-C6BB-A94A-BEB5-9531AA761A69}" srcOrd="2" destOrd="0" presId="urn:microsoft.com/office/officeart/2005/8/layout/chevron1"/>
    <dgm:cxn modelId="{0A7EA134-95AE-D945-AE37-49736DA7945A}" type="presParOf" srcId="{8413CAAA-D78A-4141-91C1-69A13DC334BC}" destId="{3E9C61B1-2771-0046-A3B4-A7A52CA9E854}" srcOrd="3" destOrd="0" presId="urn:microsoft.com/office/officeart/2005/8/layout/chevron1"/>
    <dgm:cxn modelId="{CAF9CC79-855F-B945-8018-2B5ECEC24874}" type="presParOf" srcId="{8413CAAA-D78A-4141-91C1-69A13DC334BC}" destId="{166833E9-008F-1148-8028-25E0C6C40A6F}" srcOrd="4" destOrd="0" presId="urn:microsoft.com/office/officeart/2005/8/layout/chevron1"/>
    <dgm:cxn modelId="{807ED6AB-A0F0-234E-8C97-66E930BE3FFE}" type="presParOf" srcId="{8413CAAA-D78A-4141-91C1-69A13DC334BC}" destId="{13DEE65D-25EF-A547-A35E-719A132C0250}" srcOrd="5" destOrd="0" presId="urn:microsoft.com/office/officeart/2005/8/layout/chevron1"/>
    <dgm:cxn modelId="{0BACF744-6E42-CF49-8B46-E0C1117AA8BA}" type="presParOf" srcId="{8413CAAA-D78A-4141-91C1-69A13DC334BC}" destId="{0BC8E9C4-713B-1E40-9974-B098BCD917BE}" srcOrd="6" destOrd="0" presId="urn:microsoft.com/office/officeart/2005/8/layout/chevron1"/>
    <dgm:cxn modelId="{51C9CD2C-64DD-8345-8A3F-F39B086E599D}" type="presParOf" srcId="{8413CAAA-D78A-4141-91C1-69A13DC334BC}" destId="{D965E404-A1A5-2A4F-AE0E-3B0B923D67CB}" srcOrd="7" destOrd="0" presId="urn:microsoft.com/office/officeart/2005/8/layout/chevron1"/>
    <dgm:cxn modelId="{0681276F-1D54-1A4D-81AB-B34EED7A7220}" type="presParOf" srcId="{8413CAAA-D78A-4141-91C1-69A13DC334BC}" destId="{1433FC16-EB7C-A243-9A80-1175F36F78EE}" srcOrd="8" destOrd="0" presId="urn:microsoft.com/office/officeart/2005/8/layout/chevron1"/>
    <dgm:cxn modelId="{ED77B688-2C22-9E49-8563-02D27E056844}" type="presParOf" srcId="{8413CAAA-D78A-4141-91C1-69A13DC334BC}" destId="{19464A7A-82FC-7A4F-9FB6-C610768FF3DD}" srcOrd="9" destOrd="0" presId="urn:microsoft.com/office/officeart/2005/8/layout/chevron1"/>
    <dgm:cxn modelId="{400725B8-8E20-7044-891F-EFF59116B583}" type="presParOf" srcId="{8413CAAA-D78A-4141-91C1-69A13DC334BC}" destId="{C945CA25-A965-7C47-AE6E-66D49AEA4B41}" srcOrd="10" destOrd="0" presId="urn:microsoft.com/office/officeart/2005/8/layout/chevron1"/>
    <dgm:cxn modelId="{F92B61E4-532C-614D-8677-638F3F1DD068}" type="presParOf" srcId="{8413CAAA-D78A-4141-91C1-69A13DC334BC}" destId="{B5F33140-7C50-204B-89F7-F5608DA3AAC9}" srcOrd="11" destOrd="0" presId="urn:microsoft.com/office/officeart/2005/8/layout/chevron1"/>
    <dgm:cxn modelId="{763E8FE3-3A97-824C-BAE4-EEC51574378E}"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1513</Characters>
  <Application>Microsoft Macintosh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1</cp:revision>
  <dcterms:created xsi:type="dcterms:W3CDTF">2015-06-01T23:25:00Z</dcterms:created>
  <dcterms:modified xsi:type="dcterms:W3CDTF">2015-06-01T23:40:00Z</dcterms:modified>
</cp:coreProperties>
</file>